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O4V-24-1 vom 26. September 2024</w:t>
      </w:r>
    </w:p>
    <w:p>
      <w:r>
        <w:t>AR Gerichte, 2024-09-26, DE</w:t>
      </w:r>
    </w:p>
    <w:p>
      <w:r>
        <w:rPr>
          <w:b/>
        </w:rPr>
        <w:t xml:space="preserve">Quelle: </w:t>
      </w:r>
      <w:r>
        <w:t>https://mcp.opencaselaw.ch/entscheid/ar_gerichte_OG O4V-24-1</w:t>
      </w:r>
    </w:p>
    <w:p>
      <w:r>
        <w:t>FR: AR_GERICHTE OG O4V-24-1 du 26 septembre 2024</w:t>
      </w:r>
    </w:p>
    <w:p>
      <w:r>
        <w:t>IT: AR_GERICHTE OG O4V-24-1 del 26 settembre 2024</w:t>
      </w:r>
    </w:p>
    <w:p>
      <w:pPr>
        <w:pStyle w:val="Heading2"/>
      </w:pPr>
      <w:r>
        <w:t>Erwägungen</w:t>
      </w:r>
    </w:p>
    <w:p>
      <w:r>
        <w:rPr>
          <w:b/>
        </w:rPr>
        <w:t>E. 6</w:t>
      </w:r>
    </w:p>
    <w:p>
      <w:r>
        <w:t>Zusammenfassend ergibt sich damit, dass die Beschwerde wie folgt gutzuheissen ist: Der angefochtene Rekursentscheid der Vorinstanz vom 7. Dezember 2023 ist aufzuheben und die Sache ist Sinne der Erwägungen zur Neubeurteilung an die verfügende Behörde zurückzuweisen. Im Übrigen wird nicht auf die Beschwerde eingetreten.</w:t>
      </w:r>
    </w:p>
    <w:p>
      <w:r>
        <w:rPr>
          <w:b/>
        </w:rPr>
        <w:t>E. 7</w:t>
      </w:r>
    </w:p>
    <w:p>
      <w:r>
        <w:t>Nach Art. 19 Abs. 3 in Verbindung mit Art. 53 Abs. 1 VRPG ist im Beschwerdeverfahren vor Obergericht gebühren- und kostenpflichtig, wer ganz oder teilweise unterliegt oder auf des- sen Rechtsmittel nicht eingetreten wird. Die Rückweisung der Sache an die erstinstanzliche verfügende Behörde zu erneuter Abklärung gilt für die Frage der Auferlegung der Gerichts- kosten wie auch der Parteientschädigung praxisgemäss als volles Obsiegen des Beschwerdeführers. Die Gerichtskasse ist daher anzuweisen, ihm den Kostenvorschuss von Fr. 2‘000.-- zurückzuerstatten. Für dieses Verfahren wird eine Entscheidgebühr von Fr. 2'000.-- erhoben, welche der Vorinstanz auferlegt wird, wobei in Anwendung von Art. 22 Abs. 1 VRPG auf die Erhebung zu verzichten ist.</w:t>
      </w:r>
    </w:p>
    <w:p>
      <w:r>
        <w:rPr>
          <w:b/>
        </w:rPr>
        <w:t>E. 8</w:t>
      </w:r>
    </w:p>
    <w:p>
      <w:r>
        <w:t>Nach Art. 53 Abs. 3 VRPG hat die obsiegende Partei in der Regel Anspruch auf eine Ent- schädigung für ihre notwendigen Kosten und Auslagen. Die Parteientschädigung geht zulasten der unterliegenden Partei. Aus Billigkeitsgründen kann sie auch der Staats- oder Gemeindekasse auferlegt werden (Art. 59 i.V.m. Art. 24 Abs. 2 VRPG). Ausgangsgemäss ist dem Entschädigungsbegehren des Beschwerdeführers zu entsprechen. Die Entschädigung setzt sich zusammen aus einem Honorar und den Barauslagen; die Mehrwertsteuer wird als Seite 15 Zuschlag in Rechnung gestellt (Art. 3 der Verordnung über den Anwaltstarif, AT, bGS 145.53). In Verfahren vor dem Obergericht in Verwaltungssachen wird das Honorar pauschal festgelegt (Art. 13 Abs. 1 lit. c AT) und beträgt Fr. 1‘000.-- bis Fr. 10‘000.-- (Art. 16 Abs. 1 AT). Innerhalb des für eine Pauschale gesetzten Rahmens richtet sich das Honorar nach den besonderen Umständen des Falles. In Betracht fallen namentlich Art und Umfang der Bemühungen, die Schwierigkeiten des Falles sowie die wirtschaftlichen Verhältnisse der Beteiligten (Art. 17 AT). Grundsätzlich kann die mögliche Bandbreite der Honorare unterteilt werden in a) einfache, unterdurchschnittlich aufwändige Fälle, in denen ein Honorar von Fr. 1‘000.- - bis zu Fr. 4‘000.-- zu sprechen ist; b) mittlere Fälle, die durchschnittlich schwierige Rechts- und/oder Sachverhaltsfragen betreffen und einen durchschnittlichen Aufwand benötigten, in denen ein Honorar in der Grössenordnung von Fr. 4‘000.-- bis Fr. 7‘000.-- angemessen erscheint; und c) schwierige Fälle sowohl bezüglich Sachverhalts- und/oder Rechtsfragen, in denen überdurchschnittlich umfangreiche Eingaben notwendig waren und umfangreiche Akten zu studieren waren, was ein Honorar von Fr. 7‘000.-- bis Fr. 10‘000.--, bzw. in aussergewöhnlichen Fällen bis zu Fr. 15‘000.-- rechtfertigt. RA AA., welcher den Beschwerdeführer im vorliegenden Beschwerdeverfahren vertrat, beantragt eine Parteientschädigung von Fr. 7'800.--. Vorliegend ist von einem mittleren Fall auszugehen, bei welchem durchschnittlich schwierige Rechtsfragen zu beantworten waren. Dabei gilt es zu berücksichtigen, dass der Rechtsvertreter den Beschwerdeführer bereits im Rekursverfahren vertrat. Dem Aufwand und den Anforderungen angemessen erscheint daher ein Honorar in der Höhe von Fr. 4‘000.--. Dazu kommt praxisgemäss ein Zuschlag von 4% für die Barauslagen, 7.7% für die Mehrwertsteuer im Jahr 2023 und 8.1% im Jahr 2024, wobei der Rechtsvertreter des Beschwerdeführers angibt, dass ca. die Hälfte des Aufwands bis Ende 2023 angefallen sei. Dies führt zu einer Entschädigung von insge- samt Fr. 4'488.70 (2'000 x 1.04 x 1.077) + (2'000x 1.04 x 1.081). Diese wird ausgangsgemäss der Vorinstanz auferlegt.</w:t>
      </w:r>
    </w:p>
    <w:p>
      <w:r>
        <w:rPr>
          <w:b/>
        </w:rPr>
        <w:t>E. 9</w:t>
      </w:r>
    </w:p>
    <w:p>
      <w:r>
        <w:t>Aufgrund der Aufhebung der vorinstanzlichen Entscheide obsiegt der Beschwerdeführer nachträglich im Rekursverfahren. Die Sache ist infolgedessen in Bezug auf die Neuverlegung der Kosten und Entschädigungen des Rekursverfahrens an die Vorinstanz zurückzuweisen.</w:t>
      </w:r>
    </w:p>
    <w:p>
      <w:r>
        <w:rPr>
          <w:b/>
        </w:rPr>
        <w:t>E. 10</w:t>
      </w:r>
    </w:p>
    <w:p>
      <w:r>
        <w:t>Das vorliegende Urteil schliesst das Verfahren nicht ab, sondern weist die Streitsache an die verfügende Behörde zurück. Es ist daher den Zwischenentscheiden zuzuordnen, weshalb sich seine Anfechtung nach Art. 93 des Bundesgerichtsgesetzes (BGG, SR 173.110) richtet. Seite 16 Das Obergericht erkennt: 1. In teilweiser Gutheissung der Beschwerde wird der angefochtene Rekursentscheid des Departements Inneres und Sicherheit vom 7. Dezember 2023 aufgehoben und die Sache im Sinne der Erwägungen zur Neubeurteilung an das Strassenverkehrsamt zurückgewiesen. Im Übrigen wird nicht auf die Beschwerde eingetreten. 2. Es wird eine Entscheidgebühr von insgesamt Fr. 2'000.-- festgesetzt, welche auf die Staats- kasse genommen wird. Die Gerichtskasse wird angewiesen, dem Beschwerdeführer den Kostenvorschuss von Fr. 2‘000.-- zurückzuerstatten. 3. Die Vorinstanz wird verpflichtet, dem Beschwerdeführer eine Parteientschädigung von Fr. 4'488.70 (Barauslagen und Mehrwertsteuer inbegriffen) für das Beschwerdeverfahren zu bezahlen. 4. In Bezug auf die Neuverlegung der Kosten- und Entschädigungsfolgen des Rekursverfah- rens wird die Sache an die Vorinstanz zurückgewiesen. 5. Rechtsmittel: Gegen diesen Zwischenentscheid kann innert 30 Tagen seit der Zustellung Beschwerde in öffentlich-rechtlichen Angelegenheiten erhoben werden, wenn er einen nicht wieder gutzumachenden Nachteil bewirken könnte oder wenn die Gutheissung der Beschwerde sofort einen Endentscheid herbeiführen und damit einen bedeutenden Aufwand an Zeit und Kosten für ein weitläufiges Beweisverfahren ersparen würde (Art. 82 ff. und 93 BGG). Andernfalls ist die subsidiäre Verfassungsbeschwerde gegeben (Art. 113 ff. BGG). In beiden Fällen ist die Beschwerde beim Schweizerischen Bundesgericht, Avenue du Tribunal fédéral 29, 1000 Lausanne 14, schriftlich einzureichen.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 6. Mitteilung an: - RA AA., mit Gerichtsurkunde - Departement Inneres und Sicherheit, mit Gerichtsurkunde - Strassenverkehrsamt Appenzell Ausserrhoden, mit Gerichtsurkunde nach Rechtskraft an: - die Gerichtskasse (im Dispositiv), interne Post Im Namen der 4. Abteilung des Obergerichts Der Obergerichtsvizepräsident: Der Gerichtsschreiber: Dr. iur. Manuel Hüsser lic. iur. Daniel Hofmann versandt am: 30. September 2024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